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6C" w:rsidRDefault="00895DDF">
      <w:r w:rsidRPr="00895DDF">
        <w:rPr>
          <w:noProof/>
          <w:lang w:eastAsia="es-ES"/>
        </w:rPr>
        <w:drawing>
          <wp:inline distT="0" distB="0" distL="0" distR="0" wp14:anchorId="3034EE53" wp14:editId="347199F4">
            <wp:extent cx="5343525" cy="34290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4275" cy="342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5DDF" w:rsidRDefault="00895DDF"/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APLICACIÓN PRÁCTICA 1: ¿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>Qué</w:t>
      </w:r>
      <w:r w:rsidR="00656120"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 xml:space="preserve"> CON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>OCES SOBRE LA NUEVA NORMATIVA DE PROTECCIÓN?</w:t>
      </w: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APLICACIÓN PRÁCTICA 2: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 xml:space="preserve"> </w:t>
      </w:r>
      <w:r>
        <w:rPr>
          <w:rFonts w:asciiTheme="minorHAnsi" w:eastAsiaTheme="minorEastAsia" w:hAnsi="Calibri" w:cstheme="minorBidi"/>
          <w:color w:val="00B050"/>
          <w:kern w:val="24"/>
          <w:sz w:val="44"/>
          <w:szCs w:val="44"/>
        </w:rPr>
        <w:t>PANORÁMICA GENERAL DE MODIFICACIONES (cuadro comparativo)</w:t>
      </w:r>
    </w:p>
    <w:p w:rsidR="00895DDF" w:rsidRDefault="00895DDF" w:rsidP="00895DDF">
      <w:pPr>
        <w:pStyle w:val="NormalWeb"/>
        <w:spacing w:before="0" w:beforeAutospacing="0" w:after="0" w:afterAutospacing="0"/>
      </w:pPr>
    </w:p>
    <w:p w:rsidR="00895DDF" w:rsidRDefault="00895DDF"/>
    <w:p w:rsidR="00895DDF" w:rsidRDefault="00895DDF"/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lastRenderedPageBreak/>
        <w:t>APLICACIÓN PRÁCTICA  3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 xml:space="preserve">: </w:t>
      </w:r>
      <w:r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>VALORACIÓN DEL INTERÉS SUPERIOR DEL MENOR (¿En que se concreta el ISM?)</w:t>
      </w: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</w:p>
    <w:p w:rsidR="00895DDF" w:rsidRDefault="00895DDF" w:rsidP="00895DDF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APLICACIÓN PRÁCTICA 4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26"/>
          <w:szCs w:val="26"/>
        </w:rPr>
        <w:t xml:space="preserve">: </w:t>
      </w:r>
      <w:r>
        <w:rPr>
          <w:rFonts w:asciiTheme="minorHAnsi" w:eastAsiaTheme="minorEastAsia" w:hAnsi="Calibri" w:cstheme="minorBidi"/>
          <w:color w:val="00B050"/>
          <w:kern w:val="24"/>
          <w:sz w:val="26"/>
          <w:szCs w:val="26"/>
        </w:rPr>
        <w:t>¿Qué es la trata de seres humanos? ¿Hay una trata específica de menores? ¿Podríais ejemplificarla?</w:t>
      </w:r>
    </w:p>
    <w:p w:rsidR="00895DDF" w:rsidRDefault="00895DDF" w:rsidP="00895DDF">
      <w:pPr>
        <w:pStyle w:val="NormalWeb"/>
        <w:spacing w:before="0" w:beforeAutospacing="0" w:after="0" w:afterAutospacing="0"/>
      </w:pPr>
    </w:p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  <w:jc w:val="both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0"/>
          <w:szCs w:val="40"/>
        </w:rPr>
        <w:t>APLICACIÓN PRÁCTICA 5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32"/>
          <w:szCs w:val="32"/>
        </w:rPr>
        <w:t xml:space="preserve">: </w:t>
      </w:r>
      <w:r>
        <w:rPr>
          <w:rFonts w:asciiTheme="minorHAnsi" w:eastAsiaTheme="minorEastAsia" w:hAnsi="Calibri" w:cstheme="minorBidi"/>
          <w:color w:val="00B050"/>
          <w:kern w:val="24"/>
          <w:sz w:val="32"/>
          <w:szCs w:val="32"/>
        </w:rPr>
        <w:t xml:space="preserve">ANÁLISIS DE  </w:t>
      </w:r>
      <w:hyperlink r:id="rId10" w:history="1">
        <w:r>
          <w:rPr>
            <w:rStyle w:val="Hipervnculo"/>
            <w:rFonts w:asciiTheme="minorHAnsi" w:eastAsiaTheme="minorEastAsia" w:hAnsi="Calibri" w:cstheme="minorBidi"/>
            <w:color w:val="00B050"/>
            <w:kern w:val="24"/>
            <w:sz w:val="32"/>
            <w:szCs w:val="32"/>
          </w:rPr>
          <w:t>PROTOCOLO DE MALTRATO INFANTIL EN EL ÁMBITO INTRAFAMILIAR</w:t>
        </w:r>
      </w:hyperlink>
      <w:r>
        <w:rPr>
          <w:rFonts w:asciiTheme="minorHAnsi" w:eastAsiaTheme="minorEastAsia" w:hAnsi="Calibri" w:cstheme="minorBidi"/>
          <w:color w:val="00B050"/>
          <w:kern w:val="24"/>
          <w:sz w:val="32"/>
          <w:szCs w:val="32"/>
        </w:rPr>
        <w:t xml:space="preserve"> («Ser  testigo» de violencia de </w:t>
      </w:r>
      <w:proofErr w:type="gramStart"/>
      <w:r>
        <w:rPr>
          <w:rFonts w:asciiTheme="minorHAnsi" w:eastAsiaTheme="minorEastAsia" w:hAnsi="Calibri" w:cstheme="minorBidi"/>
          <w:color w:val="00B050"/>
          <w:kern w:val="24"/>
          <w:sz w:val="32"/>
          <w:szCs w:val="32"/>
        </w:rPr>
        <w:t>género ,</w:t>
      </w:r>
      <w:proofErr w:type="gramEnd"/>
      <w:r>
        <w:rPr>
          <w:rFonts w:asciiTheme="minorHAnsi" w:eastAsiaTheme="minorEastAsia" w:hAnsi="Calibri" w:cstheme="minorBidi"/>
          <w:color w:val="00B050"/>
          <w:kern w:val="24"/>
          <w:sz w:val="32"/>
          <w:szCs w:val="32"/>
        </w:rPr>
        <w:t xml:space="preserve"> diferencia entre visitas, contactos y comunicaciones…)</w:t>
      </w:r>
    </w:p>
    <w:p w:rsidR="00895DDF" w:rsidRDefault="00895DDF" w:rsidP="00895DDF"/>
    <w:p w:rsidR="00895DDF" w:rsidRDefault="00895DDF" w:rsidP="00895DDF"/>
    <w:p w:rsidR="00895DDF" w:rsidRDefault="00895DDF" w:rsidP="00895DDF"/>
    <w:p w:rsidR="00895DDF" w:rsidRDefault="00895DDF" w:rsidP="00895DDF"/>
    <w:p w:rsidR="00895DDF" w:rsidRDefault="00895DDF" w:rsidP="00895DDF"/>
    <w:p w:rsidR="00895DDF" w:rsidRDefault="00895DDF" w:rsidP="00895DDF"/>
    <w:p w:rsidR="00895DDF" w:rsidRDefault="00895DDF" w:rsidP="00895DDF"/>
    <w:p w:rsidR="00895DDF" w:rsidRDefault="00895DDF" w:rsidP="00895DDF">
      <w:r>
        <w:rPr>
          <w:rFonts w:eastAsiaTheme="minorEastAsia" w:hAnsi="Calibri"/>
          <w:b/>
          <w:bCs/>
          <w:color w:val="00B050"/>
          <w:kern w:val="24"/>
          <w:sz w:val="48"/>
          <w:szCs w:val="48"/>
        </w:rPr>
        <w:lastRenderedPageBreak/>
        <w:t>APLICACIÓN PRÁCTICA 6</w:t>
      </w:r>
      <w:r>
        <w:rPr>
          <w:rFonts w:eastAsiaTheme="minorEastAsia" w:hAnsi="Calibri"/>
          <w:b/>
          <w:bCs/>
          <w:color w:val="00B050"/>
          <w:kern w:val="24"/>
        </w:rPr>
        <w:t>: Mencionamos algunos DERECHOS DE LOS NIÑOS/AS Y ADOLESCENTES</w:t>
      </w:r>
    </w:p>
    <w:p w:rsidR="00895DDF" w:rsidRDefault="00895DDF" w:rsidP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 xml:space="preserve">APLICACIÓN PRÁCTICA 7 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38"/>
          <w:szCs w:val="38"/>
        </w:rPr>
        <w:t>/EJEMPLIFICACIÓN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36"/>
          <w:szCs w:val="36"/>
        </w:rPr>
        <w:t xml:space="preserve">: </w:t>
      </w:r>
      <w:r>
        <w:rPr>
          <w:rFonts w:asciiTheme="minorHAnsi" w:eastAsiaTheme="minorEastAsia" w:hAnsi="Calibri" w:cstheme="minorBidi"/>
          <w:color w:val="00B050"/>
          <w:kern w:val="24"/>
          <w:sz w:val="32"/>
          <w:szCs w:val="32"/>
        </w:rPr>
        <w:t>PONER EJEMPLOS DE MEDIDAS DE PROTECCIÓN ESTABLES Y TEMPORALES, FAMILIARES Y RESIDENCIALES, CONSENSUADAS E IMPUESTAS</w:t>
      </w:r>
    </w:p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  <w:jc w:val="both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APLICACIÓN PRÁCTICA 8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36"/>
          <w:szCs w:val="36"/>
        </w:rPr>
        <w:t xml:space="preserve">: 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>Análisis de las ventajas y de los inconvenientes de establecimiento de plazos</w:t>
      </w:r>
    </w:p>
    <w:p w:rsidR="00895DDF" w:rsidRDefault="00895DDF"/>
    <w:p w:rsidR="00895DDF" w:rsidRDefault="00895DDF" w:rsidP="00895DDF">
      <w:pPr>
        <w:pStyle w:val="NormalWeb"/>
        <w:spacing w:before="0" w:beforeAutospacing="0" w:after="0" w:afterAutospacing="0"/>
        <w:ind w:left="634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ind w:left="634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ind w:left="634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C50B71" w:rsidRDefault="00C50B71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C50B71" w:rsidRDefault="00C50B71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APLICACIÓN PRÁCTICA 9</w:t>
      </w:r>
      <w:r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 xml:space="preserve">: NECESIDADES INFANTILES, 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40"/>
          <w:szCs w:val="40"/>
        </w:rPr>
        <w:t>López Sánchez, Félix.</w:t>
      </w:r>
    </w:p>
    <w:p w:rsidR="00895DDF" w:rsidRDefault="00895DDF" w:rsidP="00895DDF">
      <w:pPr>
        <w:pStyle w:val="NormalWeb"/>
        <w:spacing w:before="0" w:beforeAutospacing="0" w:after="0" w:afterAutospacing="0"/>
        <w:ind w:left="72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ind w:left="72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ind w:left="72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ind w:left="72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 xml:space="preserve">APLICACIÓN PRÁCTICA 10: </w:t>
      </w:r>
      <w:r>
        <w:rPr>
          <w:rFonts w:asciiTheme="minorHAnsi" w:eastAsiaTheme="minorEastAsia" w:hAnsi="Calibri" w:cstheme="minorBidi"/>
          <w:color w:val="00B050"/>
          <w:kern w:val="24"/>
          <w:sz w:val="48"/>
          <w:szCs w:val="48"/>
        </w:rPr>
        <w:t>DEBERES DEL MENOR EN LE ÁMBITO INSTITUCIONA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  <w:t>L: ¿cuáles son y cómo llevar a cabo su conocimiento?</w:t>
      </w: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  <w:r w:rsidRPr="00C50B71">
        <w:rPr>
          <w:rFonts w:asciiTheme="minorHAnsi" w:eastAsiaTheme="minorEastAsia" w:hAnsi="Calibri" w:cstheme="minorBidi"/>
          <w:b/>
          <w:bCs/>
          <w:color w:val="00B050"/>
          <w:kern w:val="24"/>
          <w:sz w:val="44"/>
          <w:szCs w:val="40"/>
        </w:rPr>
        <w:t xml:space="preserve">APLICACIÓN PRÁCTICA 11 </w:t>
      </w:r>
      <w:r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 xml:space="preserve">¿Cómo optimizar la Composición, número y titulación de los equipos profesionales de la entidad pública de protección de </w:t>
      </w:r>
      <w:r w:rsidR="00C50B71"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>menores?</w:t>
      </w: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Default="00895DDF" w:rsidP="00895DDF">
      <w:pPr>
        <w:pStyle w:val="NormalWeb"/>
        <w:spacing w:before="0" w:beforeAutospacing="0" w:after="0" w:afterAutospacing="0"/>
        <w:jc w:val="both"/>
      </w:pPr>
    </w:p>
    <w:p w:rsidR="00895DDF" w:rsidRPr="00895DDF" w:rsidRDefault="00895DDF" w:rsidP="00895DD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</w:pPr>
      <w:r w:rsidRPr="00C50B71">
        <w:rPr>
          <w:rFonts w:asciiTheme="minorHAnsi" w:eastAsiaTheme="minorEastAsia" w:hAnsi="Calibri" w:cstheme="minorBidi"/>
          <w:b/>
          <w:bCs/>
          <w:color w:val="00B050"/>
          <w:kern w:val="24"/>
          <w:sz w:val="48"/>
          <w:szCs w:val="56"/>
        </w:rPr>
        <w:t xml:space="preserve">APLICACIÓN PRÁCTICA </w:t>
      </w:r>
      <w:r w:rsidRPr="00C50B71">
        <w:rPr>
          <w:rFonts w:asciiTheme="minorHAnsi" w:eastAsiaTheme="minorEastAsia" w:hAnsi="Calibri" w:cstheme="minorBidi"/>
          <w:color w:val="00B050"/>
          <w:kern w:val="24"/>
          <w:sz w:val="48"/>
          <w:szCs w:val="56"/>
        </w:rPr>
        <w:t>12</w:t>
      </w:r>
      <w:r w:rsidRPr="00C50B71"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56"/>
        </w:rPr>
        <w:t xml:space="preserve"> </w:t>
      </w:r>
      <w:r>
        <w:rPr>
          <w:rFonts w:asciiTheme="minorHAnsi" w:eastAsiaTheme="minorEastAsia" w:hAnsi="Calibri" w:cstheme="minorBidi"/>
          <w:color w:val="00B050"/>
          <w:kern w:val="24"/>
          <w:sz w:val="22"/>
          <w:szCs w:val="22"/>
        </w:rPr>
        <w:t>¿</w:t>
      </w:r>
      <w:r w:rsidRPr="00895DDF"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>Qué es el RIESGO PRENATAL? VER GUÍA: diferencias</w:t>
      </w:r>
      <w:r w:rsidR="00C50B71">
        <w:rPr>
          <w:rFonts w:asciiTheme="minorHAnsi" w:eastAsiaTheme="minorEastAsia" w:hAnsi="Calibri" w:cstheme="minorBidi"/>
          <w:color w:val="00B050"/>
          <w:kern w:val="24"/>
          <w:sz w:val="40"/>
          <w:szCs w:val="40"/>
        </w:rPr>
        <w:t xml:space="preserve"> encontradas.</w:t>
      </w:r>
    </w:p>
    <w:p w:rsidR="00895DDF" w:rsidRDefault="00895DDF" w:rsidP="00895DDF">
      <w:pPr>
        <w:pStyle w:val="NormalWeb"/>
        <w:spacing w:before="0" w:beforeAutospacing="0" w:after="0" w:afterAutospacing="0"/>
      </w:pPr>
    </w:p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/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  <w:r>
        <w:rPr>
          <w:rFonts w:eastAsiaTheme="minorEastAsia" w:hAnsi="Calibri"/>
          <w:b/>
          <w:bCs/>
          <w:color w:val="00B050"/>
          <w:kern w:val="24"/>
          <w:sz w:val="48"/>
          <w:szCs w:val="48"/>
        </w:rPr>
        <w:t>APLICACIÓN PRÁCTICA 13 Ejemplificar supuestos DE GUARDA PROVISIONAL</w:t>
      </w: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pStyle w:val="NormalWeb"/>
        <w:spacing w:before="0" w:beforeAutospacing="0" w:after="0" w:afterAutospacing="0"/>
      </w:pPr>
      <w:r w:rsidRPr="00C50B71">
        <w:rPr>
          <w:rFonts w:asciiTheme="minorHAnsi" w:eastAsiaTheme="minorEastAsia" w:hAnsi="Calibri" w:cstheme="minorBidi"/>
          <w:b/>
          <w:bCs/>
          <w:color w:val="00B050"/>
          <w:kern w:val="24"/>
          <w:sz w:val="44"/>
          <w:szCs w:val="40"/>
          <w:lang w:val="pt-BR"/>
        </w:rPr>
        <w:t>APLICACIÓN PRÁCTICA 14</w:t>
      </w:r>
      <w:r>
        <w:rPr>
          <w:rFonts w:asciiTheme="minorHAnsi" w:eastAsiaTheme="minorEastAsia" w:hAnsi="Calibri" w:cstheme="minorBidi"/>
          <w:b/>
          <w:bCs/>
          <w:color w:val="00B050"/>
          <w:kern w:val="24"/>
          <w:sz w:val="40"/>
          <w:szCs w:val="40"/>
          <w:lang w:val="pt-BR"/>
        </w:rPr>
        <w:t>:</w:t>
      </w:r>
      <w:proofErr w:type="gramStart"/>
      <w:r>
        <w:rPr>
          <w:rFonts w:asciiTheme="minorHAnsi" w:eastAsiaTheme="minorEastAsia" w:hAnsi="Calibri" w:cstheme="minorBidi"/>
          <w:b/>
          <w:bCs/>
          <w:color w:val="00B050"/>
          <w:kern w:val="24"/>
          <w:sz w:val="40"/>
          <w:szCs w:val="40"/>
          <w:lang w:val="pt-BR"/>
        </w:rPr>
        <w:t xml:space="preserve">  </w:t>
      </w:r>
      <w:proofErr w:type="gramEnd"/>
      <w:r>
        <w:rPr>
          <w:rFonts w:asciiTheme="minorHAnsi" w:eastAsiaTheme="minorEastAsia" w:hAnsi="Calibri" w:cstheme="minorBidi"/>
          <w:color w:val="00B050"/>
          <w:kern w:val="24"/>
          <w:sz w:val="40"/>
          <w:szCs w:val="40"/>
          <w:lang w:val="pt-BR"/>
        </w:rPr>
        <w:t>indicadores de desamparo GUIA MALTRATO INFANTIL/PROTOCOLO DE MALTRATO INFATIL EN EL ÁMBITO FAMILIAR (</w:t>
      </w:r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mostrar </w:t>
      </w:r>
      <w:proofErr w:type="spellStart"/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la</w:t>
      </w:r>
      <w:proofErr w:type="spellEnd"/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guia de maltrato infantil </w:t>
      </w:r>
      <w:proofErr w:type="spellStart"/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on</w:t>
      </w:r>
      <w:proofErr w:type="spellEnd"/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spellStart"/>
      <w:r w:rsidRPr="00895DDF">
        <w:rPr>
          <w:rFonts w:asciiTheme="minorHAnsi" w:eastAsiaTheme="minorEastAsia" w:hAnsi="Calibri" w:cstheme="minorBidi"/>
          <w:color w:val="FFFF00"/>
          <w:kern w:val="24"/>
          <w:sz w:val="40"/>
          <w:szCs w:val="40"/>
          <w:lang w:val="pt-BR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line</w:t>
      </w:r>
      <w:proofErr w:type="spellEnd"/>
      <w:r>
        <w:rPr>
          <w:rFonts w:asciiTheme="minorHAnsi" w:eastAsiaTheme="minorEastAsia" w:hAnsi="Calibri" w:cstheme="minorBidi"/>
          <w:color w:val="00B050"/>
          <w:kern w:val="24"/>
          <w:sz w:val="40"/>
          <w:szCs w:val="40"/>
          <w:lang w:val="pt-BR"/>
        </w:rPr>
        <w:t>)</w:t>
      </w: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 w:rsidP="00895DDF">
      <w:pPr>
        <w:rPr>
          <w:rFonts w:eastAsiaTheme="minorEastAsia" w:hAnsi="Calibri"/>
          <w:color w:val="00B050"/>
          <w:kern w:val="24"/>
          <w:sz w:val="48"/>
          <w:szCs w:val="48"/>
        </w:rPr>
      </w:pPr>
      <w:r w:rsidRPr="00895DDF">
        <w:rPr>
          <w:rFonts w:eastAsiaTheme="minorEastAsia" w:hAnsi="Calibri"/>
          <w:b/>
          <w:bCs/>
          <w:color w:val="00B050"/>
          <w:kern w:val="24"/>
          <w:sz w:val="48"/>
          <w:szCs w:val="48"/>
        </w:rPr>
        <w:lastRenderedPageBreak/>
        <w:t>APLICACIÓN PRÁCTICA 15</w:t>
      </w:r>
      <w:r w:rsidRPr="00895DDF">
        <w:rPr>
          <w:rFonts w:eastAsiaTheme="minorEastAsia" w:hAnsi="Calibri"/>
          <w:color w:val="00B050"/>
          <w:kern w:val="24"/>
          <w:sz w:val="48"/>
          <w:szCs w:val="48"/>
        </w:rPr>
        <w:t>: Mencionar algún caso</w:t>
      </w:r>
      <w:r>
        <w:rPr>
          <w:rFonts w:eastAsiaTheme="minorEastAsia" w:hAnsi="Calibri"/>
          <w:color w:val="00B050"/>
          <w:kern w:val="24"/>
          <w:sz w:val="48"/>
          <w:szCs w:val="48"/>
        </w:rPr>
        <w:t>:</w:t>
      </w:r>
    </w:p>
    <w:p w:rsidR="00895DDF" w:rsidRDefault="00895DDF" w:rsidP="00895DDF">
      <w:pPr>
        <w:rPr>
          <w:rFonts w:eastAsiaTheme="minorEastAsia" w:hAnsi="Calibri"/>
          <w:color w:val="00B050"/>
          <w:kern w:val="24"/>
          <w:sz w:val="48"/>
          <w:szCs w:val="48"/>
        </w:rPr>
      </w:pPr>
      <w:r>
        <w:rPr>
          <w:rFonts w:eastAsiaTheme="minorEastAsia" w:hAnsi="Calibri"/>
          <w:color w:val="00B050"/>
          <w:kern w:val="24"/>
          <w:sz w:val="48"/>
          <w:szCs w:val="48"/>
        </w:rPr>
        <w:t>Discapacidad</w:t>
      </w:r>
    </w:p>
    <w:p w:rsidR="00895DDF" w:rsidRDefault="00895DDF" w:rsidP="00895DDF">
      <w:pPr>
        <w:rPr>
          <w:rFonts w:eastAsiaTheme="minorEastAsia" w:hAnsi="Calibri"/>
          <w:color w:val="00B050"/>
          <w:kern w:val="24"/>
          <w:sz w:val="48"/>
          <w:szCs w:val="48"/>
        </w:rPr>
      </w:pPr>
      <w:r>
        <w:rPr>
          <w:rFonts w:eastAsiaTheme="minorEastAsia" w:hAnsi="Calibri"/>
          <w:color w:val="00B050"/>
          <w:kern w:val="24"/>
          <w:sz w:val="48"/>
          <w:szCs w:val="48"/>
        </w:rPr>
        <w:t>Pobreza</w:t>
      </w:r>
    </w:p>
    <w:p w:rsidR="00895DDF" w:rsidRPr="00895DDF" w:rsidRDefault="00895DDF" w:rsidP="00895DDF">
      <w:pPr>
        <w:rPr>
          <w:sz w:val="48"/>
        </w:rPr>
      </w:pPr>
      <w:r>
        <w:rPr>
          <w:rFonts w:eastAsiaTheme="minorEastAsia" w:hAnsi="Calibri"/>
          <w:color w:val="00B050"/>
          <w:kern w:val="24"/>
          <w:sz w:val="48"/>
          <w:szCs w:val="48"/>
        </w:rPr>
        <w:t>Hermano/a</w:t>
      </w:r>
    </w:p>
    <w:p w:rsidR="00895DDF" w:rsidRDefault="00895DDF">
      <w:pPr>
        <w:rPr>
          <w:rFonts w:eastAsiaTheme="minorEastAsia" w:hAnsi="Calibri"/>
          <w:b/>
          <w:bCs/>
          <w:color w:val="00B050"/>
          <w:kern w:val="24"/>
          <w:sz w:val="48"/>
          <w:szCs w:val="48"/>
        </w:rPr>
      </w:pPr>
    </w:p>
    <w:p w:rsidR="00895DDF" w:rsidRDefault="00895DDF"/>
    <w:sectPr w:rsidR="00895DDF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DDF" w:rsidRDefault="00895DDF" w:rsidP="00895DDF">
      <w:pPr>
        <w:spacing w:after="0" w:line="240" w:lineRule="auto"/>
      </w:pPr>
      <w:r>
        <w:separator/>
      </w:r>
    </w:p>
  </w:endnote>
  <w:endnote w:type="continuationSeparator" w:id="0">
    <w:p w:rsidR="00895DDF" w:rsidRDefault="00895DDF" w:rsidP="00895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053094"/>
      <w:docPartObj>
        <w:docPartGallery w:val="Page Numbers (Bottom of Page)"/>
        <w:docPartUnique/>
      </w:docPartObj>
    </w:sdtPr>
    <w:sdtEndPr/>
    <w:sdtContent>
      <w:p w:rsidR="00C50B71" w:rsidRDefault="00C50B71">
        <w:pPr>
          <w:pStyle w:val="Piedepgina"/>
          <w:jc w:val="right"/>
        </w:pPr>
        <w:r>
          <w:rPr>
            <w:noProof/>
            <w:lang w:eastAsia="es-ES"/>
          </w:rPr>
          <w:drawing>
            <wp:anchor distT="0" distB="0" distL="114300" distR="114300" simplePos="0" relativeHeight="251660288" behindDoc="1" locked="0" layoutInCell="1" allowOverlap="1" wp14:anchorId="5CACD328" wp14:editId="6D2D81B1">
              <wp:simplePos x="0" y="0"/>
              <wp:positionH relativeFrom="column">
                <wp:posOffset>-813435</wp:posOffset>
              </wp:positionH>
              <wp:positionV relativeFrom="paragraph">
                <wp:posOffset>-120015</wp:posOffset>
              </wp:positionV>
              <wp:extent cx="455725" cy="651389"/>
              <wp:effectExtent l="0" t="0" r="1905" b="0"/>
              <wp:wrapNone/>
              <wp:docPr id="2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5725" cy="6513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73608">
          <w:rPr>
            <w:noProof/>
          </w:rPr>
          <w:t>6</w:t>
        </w:r>
        <w:r>
          <w:fldChar w:fldCharType="end"/>
        </w:r>
      </w:p>
    </w:sdtContent>
  </w:sdt>
  <w:p w:rsidR="00C50B71" w:rsidRDefault="00C50B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DDF" w:rsidRDefault="00895DDF" w:rsidP="00895DDF">
      <w:pPr>
        <w:spacing w:after="0" w:line="240" w:lineRule="auto"/>
      </w:pPr>
      <w:r>
        <w:separator/>
      </w:r>
    </w:p>
  </w:footnote>
  <w:footnote w:type="continuationSeparator" w:id="0">
    <w:p w:rsidR="00895DDF" w:rsidRDefault="00895DDF" w:rsidP="00895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DDF" w:rsidRDefault="0087360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7A980CAF" wp14:editId="362B8D3C">
          <wp:simplePos x="0" y="0"/>
          <wp:positionH relativeFrom="column">
            <wp:posOffset>4168140</wp:posOffset>
          </wp:positionH>
          <wp:positionV relativeFrom="paragraph">
            <wp:posOffset>-121920</wp:posOffset>
          </wp:positionV>
          <wp:extent cx="974090" cy="454025"/>
          <wp:effectExtent l="0" t="0" r="0" b="3175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apiz - F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090" cy="454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2D4CD140" wp14:editId="77044A01">
          <wp:simplePos x="0" y="0"/>
          <wp:positionH relativeFrom="column">
            <wp:posOffset>-51435</wp:posOffset>
          </wp:positionH>
          <wp:positionV relativeFrom="paragraph">
            <wp:posOffset>-125730</wp:posOffset>
          </wp:positionV>
          <wp:extent cx="1028700" cy="459105"/>
          <wp:effectExtent l="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pCor_cor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59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91FA"/>
      </v:shape>
    </w:pict>
  </w:numPicBullet>
  <w:abstractNum w:abstractNumId="0">
    <w:nsid w:val="05937E5B"/>
    <w:multiLevelType w:val="hybridMultilevel"/>
    <w:tmpl w:val="731C6EF8"/>
    <w:lvl w:ilvl="0" w:tplc="AB86C2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3CC5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E49B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C2E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1C9A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0A5D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3E59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E5D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0890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19A"/>
    <w:rsid w:val="0059019A"/>
    <w:rsid w:val="00656120"/>
    <w:rsid w:val="00873608"/>
    <w:rsid w:val="00895DDF"/>
    <w:rsid w:val="00944650"/>
    <w:rsid w:val="00C50B71"/>
    <w:rsid w:val="00C8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52BF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5DD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95D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95D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5DDF"/>
  </w:style>
  <w:style w:type="paragraph" w:styleId="Piedepgina">
    <w:name w:val="footer"/>
    <w:basedOn w:val="Normal"/>
    <w:link w:val="PiedepginaCar"/>
    <w:uiPriority w:val="99"/>
    <w:unhideWhenUsed/>
    <w:rsid w:val="00895D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5DDF"/>
  </w:style>
  <w:style w:type="paragraph" w:styleId="Textodeglobo">
    <w:name w:val="Balloon Text"/>
    <w:basedOn w:val="Normal"/>
    <w:link w:val="TextodegloboCar"/>
    <w:uiPriority w:val="99"/>
    <w:semiHidden/>
    <w:unhideWhenUsed/>
    <w:rsid w:val="0065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5DD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95D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95D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5DDF"/>
  </w:style>
  <w:style w:type="paragraph" w:styleId="Piedepgina">
    <w:name w:val="footer"/>
    <w:basedOn w:val="Normal"/>
    <w:link w:val="PiedepginaCar"/>
    <w:uiPriority w:val="99"/>
    <w:unhideWhenUsed/>
    <w:rsid w:val="00895D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5DDF"/>
  </w:style>
  <w:style w:type="paragraph" w:styleId="Textodeglobo">
    <w:name w:val="Balloon Text"/>
    <w:basedOn w:val="Normal"/>
    <w:link w:val="TextodegloboCar"/>
    <w:uiPriority w:val="99"/>
    <w:semiHidden/>
    <w:unhideWhenUsed/>
    <w:rsid w:val="0065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observatoriodelainfancia.msssi.gob.es/productos/pdf/MaltratoInfantil_accesible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12FC-F63A-4436-BBC0-032DC49D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Alumnado</dc:creator>
  <cp:keywords/>
  <dc:description/>
  <cp:lastModifiedBy>.</cp:lastModifiedBy>
  <cp:revision>4</cp:revision>
  <dcterms:created xsi:type="dcterms:W3CDTF">2019-04-23T18:32:00Z</dcterms:created>
  <dcterms:modified xsi:type="dcterms:W3CDTF">2019-04-24T11:31:00Z</dcterms:modified>
</cp:coreProperties>
</file>